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673"/>
        <w:gridCol w:w="10535"/>
      </w:tblGrid>
      <w:tr w:rsidR="007B3029" w:rsidRPr="007B3029" w:rsidTr="007B3029">
        <w:tc>
          <w:tcPr>
            <w:tcW w:w="181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7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Форма государственной поддержки</w:t>
            </w:r>
          </w:p>
        </w:tc>
        <w:tc>
          <w:tcPr>
            <w:tcW w:w="10535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Условия предоставления</w:t>
            </w:r>
          </w:p>
        </w:tc>
      </w:tr>
      <w:tr w:rsidR="007B3029" w:rsidRPr="007B3029" w:rsidTr="007B3029">
        <w:tc>
          <w:tcPr>
            <w:tcW w:w="15018" w:type="dxa"/>
            <w:gridSpan w:val="3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I. ПОДДЕРЖКА МАЛОГО БИЗНЕСА В РАМКАХ ДЕЯТЕЛЬНОСТИ ОБЪЕКТОВ ИНФРАСТРУКТУРЫ ПОДДЕРЖКИ ПРЕДПРИНИМАТЕЛЬСТВА</w:t>
            </w:r>
          </w:p>
        </w:tc>
      </w:tr>
      <w:tr w:rsidR="007B3029" w:rsidRPr="007B3029" w:rsidTr="007B3029">
        <w:tc>
          <w:tcPr>
            <w:tcW w:w="181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267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u w:val="single"/>
                <w:lang w:eastAsia="ru-RU"/>
              </w:rPr>
              <w:t>Предоставление поручительств</w:t>
            </w:r>
          </w:p>
        </w:tc>
        <w:tc>
          <w:tcPr>
            <w:tcW w:w="10535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При отсутствии залогового обеспечения для получения кредита/займа/банковской гарантии/лизинга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некоммерческая организация «Гарантийный фонд Ростовской области»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предоставляет субъектам малого и среднего предпринимательства поручительства в размере не более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70%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от суммы обеспечиваемого обязательства (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до 100 млн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руб.) по инвестиционным кредитам, займам, банковской гарантии, лизингу и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до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50%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(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до 30 млн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руб.) по кредитам на пополнение оборотных средств.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 xml:space="preserve">Дополнительную информацию можно получить по </w:t>
            </w:r>
            <w:proofErr w:type="gramStart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адресу: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br/>
              <w:t>г.</w:t>
            </w:r>
            <w:proofErr w:type="gramEnd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 xml:space="preserve"> Ростов-на-Дону, ул. Седова, 6/3 или по телефонам: (863) 280-04-06, 280-04-07, а также на сайте </w:t>
            </w:r>
            <w:hyperlink r:id="rId4" w:history="1">
              <w:r w:rsidRPr="007B3029">
                <w:rPr>
                  <w:rFonts w:ascii="Trebuchet MS" w:eastAsia="Times New Roman" w:hAnsi="Trebuchet MS" w:cs="Times New Roman"/>
                  <w:color w:val="2B76B2"/>
                  <w:sz w:val="21"/>
                  <w:szCs w:val="21"/>
                  <w:u w:val="single"/>
                  <w:lang w:eastAsia="ru-RU"/>
                </w:rPr>
                <w:t>www.dongarant.ru</w:t>
              </w:r>
            </w:hyperlink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 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proofErr w:type="gram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Директор 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НКО</w:t>
            </w:r>
            <w:proofErr w:type="gramEnd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 xml:space="preserve"> «Гарантийный фонд Ростовской области» -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br/>
            </w:r>
            <w:proofErr w:type="spell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Соин</w:t>
            </w:r>
            <w:proofErr w:type="spellEnd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 xml:space="preserve"> Роман Владимирович.</w:t>
            </w:r>
          </w:p>
        </w:tc>
      </w:tr>
      <w:tr w:rsidR="007B3029" w:rsidRPr="007B3029" w:rsidTr="007B3029">
        <w:tc>
          <w:tcPr>
            <w:tcW w:w="181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2.                   </w:t>
            </w:r>
          </w:p>
        </w:tc>
        <w:tc>
          <w:tcPr>
            <w:tcW w:w="267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u w:val="single"/>
                <w:lang w:eastAsia="ru-RU"/>
              </w:rPr>
              <w:t>Предоставление лизинговых услуг</w:t>
            </w:r>
          </w:p>
        </w:tc>
        <w:tc>
          <w:tcPr>
            <w:tcW w:w="10535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С целью развития лизинговой поддержки субъектов малого и среднего предпринимательства в конце 2017 года создан эффективный инструмент –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акционерное общество «Региональная лизинговая компания Ростовской области»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 xml:space="preserve">, которое предоставляет субъектам малого и среднего предпринимательства финансовую аренду (лизинг) под коммерческий транспорт, спецтехнику и оборудование, в </w:t>
            </w:r>
            <w:proofErr w:type="spellStart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т.ч</w:t>
            </w:r>
            <w:proofErr w:type="spellEnd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 высокотехнологичное, на льготных условиях от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5 %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годовых на максимальный срок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до 5 лет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В случае возникновения потребности у субъекта МСП в лизинговом продукте стоимостью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свыше 5 млн рублей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, возможно обратиться в региональные лизинговые компании, созданные АО «Корпорация «МСП» в городах Казань, Уфа, Ярославль, Якутск с целью предоставления льготного лизинга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от 6% годовых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для всех субъектов индивидуального и малого предпринимательства вне зависимости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от их местонахождения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lastRenderedPageBreak/>
              <w:t>Консультацию по этому вопросу можно получить у специалистов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br/>
              <w:t>АО «Региональная лизинговая компания Ростовской области» по адресу: г. Ростов-на-Дону, ул. Седова, 6/3 или по телефону: (863) 207-82-50, 207-82-70, а также на сайте </w:t>
            </w:r>
            <w:hyperlink r:id="rId5" w:history="1">
              <w:r w:rsidRPr="007B3029">
                <w:rPr>
                  <w:rFonts w:ascii="Trebuchet MS" w:eastAsia="Times New Roman" w:hAnsi="Trebuchet MS" w:cs="Times New Roman"/>
                  <w:color w:val="2B76B2"/>
                  <w:sz w:val="21"/>
                  <w:szCs w:val="21"/>
                  <w:u w:val="single"/>
                  <w:lang w:eastAsia="ru-RU"/>
                </w:rPr>
                <w:t>www.rlc161.ru</w:t>
              </w:r>
            </w:hyperlink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Директор АО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«Региональная лизинговая компания Ростовской области» - Иванищев Александр Владимирович.</w:t>
            </w:r>
          </w:p>
        </w:tc>
      </w:tr>
      <w:tr w:rsidR="007B3029" w:rsidRPr="007B3029" w:rsidTr="007B3029">
        <w:tc>
          <w:tcPr>
            <w:tcW w:w="181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lastRenderedPageBreak/>
              <w:t>3.                   </w:t>
            </w:r>
          </w:p>
        </w:tc>
        <w:tc>
          <w:tcPr>
            <w:tcW w:w="267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u w:val="single"/>
                <w:lang w:eastAsia="ru-RU"/>
              </w:rPr>
              <w:t>Льготные займы для субъектов МСП</w:t>
            </w:r>
          </w:p>
        </w:tc>
        <w:tc>
          <w:tcPr>
            <w:tcW w:w="10535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В целях получения заемных ресурсов предприниматель может обратиться в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Автономную некоммерческую организацию-</w:t>
            </w:r>
            <w:proofErr w:type="spell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микрофинансовая</w:t>
            </w:r>
            <w:proofErr w:type="spellEnd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 xml:space="preserve"> компания «Ростовское региональное агентство поддержки предпринимательства».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Максимальная сумма займа составляет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не более 5,0 млн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рублей на особых условиях, на срок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до 36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месяцев включительно. Размер процентной ставки –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br/>
              <w:t>от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3,62 до 7,25 %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годовых.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Также, на базе АНО «РРАПП» действует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Центр поддержки предпринимательства «Бизнес-Экосистема»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, обеспечивающий возможность получения субъектами малого и среднего предпринимательства комплекса информационно-консультационных услуг, направленных на содействие развитию бизнеса.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Более подробную информацию можно получить, обратившись к специалистам Центра по адресу: г. Ростов-на-Дону, ул. Седова, 6/3 или по телефону: (863) 308-19-11, а также на сайте: </w:t>
            </w:r>
            <w:hyperlink r:id="rId6" w:history="1">
              <w:r w:rsidRPr="007B3029">
                <w:rPr>
                  <w:rFonts w:ascii="Trebuchet MS" w:eastAsia="Times New Roman" w:hAnsi="Trebuchet MS" w:cs="Times New Roman"/>
                  <w:color w:val="2B76B2"/>
                  <w:sz w:val="21"/>
                  <w:szCs w:val="21"/>
                  <w:u w:val="single"/>
                  <w:lang w:eastAsia="ru-RU"/>
                </w:rPr>
                <w:t>http://www.rrapp.ru/</w:t>
              </w:r>
            </w:hyperlink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Директор АНО «РРАПП» -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Куринова Яна Игоревна.</w:t>
            </w:r>
          </w:p>
        </w:tc>
      </w:tr>
      <w:tr w:rsidR="007B3029" w:rsidRPr="007B3029" w:rsidTr="007B3029">
        <w:tc>
          <w:tcPr>
            <w:tcW w:w="181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4.                   </w:t>
            </w:r>
          </w:p>
        </w:tc>
        <w:tc>
          <w:tcPr>
            <w:tcW w:w="267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u w:val="single"/>
                <w:lang w:eastAsia="ru-RU"/>
              </w:rPr>
              <w:t>Инжиниринговые услуги</w:t>
            </w:r>
          </w:p>
        </w:tc>
        <w:tc>
          <w:tcPr>
            <w:tcW w:w="10535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Региональный центр инжиниринга Ростовской области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создан и работает с целью поддержки субъектов малого и среднего предпринимательства Ростовской области в вопросах развития, модернизации и внедрения новых технологий в производство, является структурным подразделением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 Автономной некоммерческой организации-</w:t>
            </w:r>
            <w:proofErr w:type="spell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 xml:space="preserve"> компании «Ростовское региональное агентство поддержки </w:t>
            </w:r>
            <w:proofErr w:type="gram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предпринимательства»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с 01.08.2019)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lastRenderedPageBreak/>
              <w:t>Для решения технологических, организационных, маркетинговых, сервисных задач привлекает специализированные консалтинговые компании, сотрудничает с ВУЗами и НИИ Ростовской области, взаимодействует с федеральными институтами развития и органами государственной (муниципальной) власти, банками и другими финансовыми учреждениями, крупными промышленными предприятиями региона.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Региональный центр инжиниринга Ростовской области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осуществляет сопровождение субъектов малого и среднего предпринимательства, оказывает техническую и консалтинговую поддержку.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Обратиться в Региональный центр инжиниринга Ростовской области можно по адресу: г. Ростов-на-Дону, ул. Седова, 6/3, тел. (863) 308-19-11, а также на сайте </w:t>
            </w:r>
            <w:hyperlink r:id="rId7" w:history="1">
              <w:r w:rsidRPr="007B3029">
                <w:rPr>
                  <w:rFonts w:ascii="Trebuchet MS" w:eastAsia="Times New Roman" w:hAnsi="Trebuchet MS" w:cs="Times New Roman"/>
                  <w:color w:val="2B76B2"/>
                  <w:sz w:val="21"/>
                  <w:szCs w:val="21"/>
                  <w:u w:val="single"/>
                  <w:lang w:eastAsia="ru-RU"/>
                </w:rPr>
                <w:t>http://www.rrapp.ru/</w:t>
              </w:r>
            </w:hyperlink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Директор АНО «РРАПП» -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Куринова Яна Игоревна.</w:t>
            </w:r>
          </w:p>
        </w:tc>
      </w:tr>
      <w:tr w:rsidR="007B3029" w:rsidRPr="007B3029" w:rsidTr="007B3029">
        <w:tc>
          <w:tcPr>
            <w:tcW w:w="181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lastRenderedPageBreak/>
              <w:t>5.                   </w:t>
            </w:r>
          </w:p>
        </w:tc>
        <w:tc>
          <w:tcPr>
            <w:tcW w:w="2673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u w:val="single"/>
                <w:lang w:eastAsia="ru-RU"/>
              </w:rPr>
              <w:t>Формирование и развитие кластеров</w:t>
            </w:r>
          </w:p>
        </w:tc>
        <w:tc>
          <w:tcPr>
            <w:tcW w:w="10535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Центр кластерного развития Ростовской области создан в целях формирования и развития территориальных кластеров Ростовской области, включая содействие принятию решений и координации проектов, обеспечивающих развитие региональных кластеров и кооперационное взаимодействие участников кластеров между собой.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Центр кластерного развития Ростовской области является структурным подразделением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Автономной некоммерческой организации-</w:t>
            </w:r>
            <w:proofErr w:type="spell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 xml:space="preserve"> компании «Ростовское региональное агентство поддержки предпринимательства» 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(с 01.08.2019) и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предоставляет услуги субъектам малого и среднего предпринимательства – участникам территориальных кластеров: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-Маркетинговые услуги;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-Организация и проведение обучающих тренингов, семинаров;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-Проведение информационных кампаний;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-Подготовка бизнес-планов, технико-экономических обоснований совместных кластерных проектов;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lastRenderedPageBreak/>
              <w:t>-Организация участия на отраслевых российских и зарубежных выставочных площадках;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-Консультационные услуги по вопросам правового обеспечения деятельности;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-Работы по обеспечению соответствия продукции требованиям потребителей в целях выхода на новые рынки сбыта;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 xml:space="preserve">- Проведение </w:t>
            </w:r>
            <w:proofErr w:type="spellStart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вебинаров</w:t>
            </w:r>
            <w:proofErr w:type="spellEnd"/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, круглых столов.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Обратиться в Центр кластерного развития Ростовской области можно по адресу: г. Ростов-на-Дону, ул. Седова, 6/3, тел. (863) 308-19-11, а также на сайте </w:t>
            </w:r>
            <w:hyperlink r:id="rId8" w:history="1">
              <w:r w:rsidRPr="007B3029">
                <w:rPr>
                  <w:rFonts w:ascii="Trebuchet MS" w:eastAsia="Times New Roman" w:hAnsi="Trebuchet MS" w:cs="Times New Roman"/>
                  <w:color w:val="2B76B2"/>
                  <w:sz w:val="21"/>
                  <w:szCs w:val="21"/>
                  <w:u w:val="single"/>
                  <w:lang w:eastAsia="ru-RU"/>
                </w:rPr>
                <w:t>http://www.rrapp.ru/</w:t>
              </w:r>
            </w:hyperlink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.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</w:p>
          <w:p w:rsidR="007B3029" w:rsidRPr="007B3029" w:rsidRDefault="007B3029" w:rsidP="007B302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</w:pP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Директор АНО «РРАПП» -</w:t>
            </w:r>
            <w:r w:rsidRPr="007B3029">
              <w:rPr>
                <w:rFonts w:ascii="Trebuchet MS" w:eastAsia="Times New Roman" w:hAnsi="Trebuchet MS" w:cs="Times New Roman"/>
                <w:color w:val="22252D"/>
                <w:sz w:val="21"/>
                <w:szCs w:val="21"/>
                <w:lang w:eastAsia="ru-RU"/>
              </w:rPr>
              <w:t> </w:t>
            </w:r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 xml:space="preserve">Куринова Яна </w:t>
            </w:r>
            <w:proofErr w:type="gramStart"/>
            <w:r w:rsidRPr="007B3029">
              <w:rPr>
                <w:rFonts w:ascii="Trebuchet MS" w:eastAsia="Times New Roman" w:hAnsi="Trebuchet MS" w:cs="Times New Roman"/>
                <w:b/>
                <w:bCs/>
                <w:color w:val="22252D"/>
                <w:sz w:val="21"/>
                <w:szCs w:val="21"/>
                <w:lang w:eastAsia="ru-RU"/>
              </w:rPr>
              <w:t>Игоревна..</w:t>
            </w:r>
            <w:proofErr w:type="gramEnd"/>
          </w:p>
        </w:tc>
      </w:tr>
    </w:tbl>
    <w:p w:rsidR="00D762D8" w:rsidRDefault="00D762D8">
      <w:bookmarkStart w:id="0" w:name="_GoBack"/>
      <w:bookmarkEnd w:id="0"/>
    </w:p>
    <w:sectPr w:rsidR="00D762D8" w:rsidSect="007B3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29"/>
    <w:rsid w:val="002D18A3"/>
    <w:rsid w:val="007B3029"/>
    <w:rsid w:val="00D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7021-284C-416D-BF69-1D9D04C5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029"/>
    <w:rPr>
      <w:b/>
      <w:bCs/>
    </w:rPr>
  </w:style>
  <w:style w:type="character" w:styleId="a5">
    <w:name w:val="Hyperlink"/>
    <w:basedOn w:val="a0"/>
    <w:uiPriority w:val="99"/>
    <w:semiHidden/>
    <w:unhideWhenUsed/>
    <w:rsid w:val="007B3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p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rap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rapp.ru/" TargetMode="External"/><Relationship Id="rId5" Type="http://schemas.openxmlformats.org/officeDocument/2006/relationships/hyperlink" Target="http://www.rlc161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n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</dc:creator>
  <cp:keywords/>
  <dc:description/>
  <cp:lastModifiedBy>Ольга Андреевна</cp:lastModifiedBy>
  <cp:revision>2</cp:revision>
  <dcterms:created xsi:type="dcterms:W3CDTF">2021-07-22T12:29:00Z</dcterms:created>
  <dcterms:modified xsi:type="dcterms:W3CDTF">2021-07-22T12:29:00Z</dcterms:modified>
</cp:coreProperties>
</file>